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DE05" w14:textId="30E315FC" w:rsidR="00EA6DD2" w:rsidRDefault="00911032">
      <w:r>
        <w:rPr>
          <w:noProof/>
        </w:rPr>
        <w:drawing>
          <wp:inline distT="0" distB="0" distL="0" distR="0" wp14:anchorId="6A415568" wp14:editId="3E2FB22E">
            <wp:extent cx="6810239" cy="715992"/>
            <wp:effectExtent l="0" t="0" r="0" b="8255"/>
            <wp:docPr id="15260974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882315" cy="72357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630"/>
        <w:gridCol w:w="8816"/>
      </w:tblGrid>
      <w:tr w:rsidR="00911032" w:rsidRPr="00911032" w14:paraId="52897106" w14:textId="77777777" w:rsidTr="00911032">
        <w:trPr>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2DBBC7" w14:textId="77777777" w:rsidR="00911032" w:rsidRPr="00911032" w:rsidRDefault="00911032" w:rsidP="00911032">
            <w:pPr>
              <w:jc w:val="center"/>
              <w:rPr>
                <w:b/>
                <w:bCs/>
              </w:rPr>
            </w:pPr>
            <w:r w:rsidRPr="00911032">
              <w:rPr>
                <w:b/>
                <w:bCs/>
              </w:rPr>
              <w:t>DUYURU</w:t>
            </w:r>
          </w:p>
        </w:tc>
      </w:tr>
      <w:tr w:rsidR="00911032" w:rsidRPr="00911032" w14:paraId="2D458D86" w14:textId="77777777" w:rsidTr="00911032">
        <w:trPr>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1B4" w14:textId="77777777" w:rsidR="00911032" w:rsidRPr="00911032" w:rsidRDefault="00911032" w:rsidP="00911032">
            <w:pPr>
              <w:jc w:val="center"/>
              <w:rPr>
                <w:b/>
                <w:bCs/>
              </w:rPr>
            </w:pPr>
            <w:r w:rsidRPr="00911032">
              <w:rPr>
                <w:b/>
                <w:bCs/>
              </w:rPr>
              <w:t>KONU</w:t>
            </w:r>
          </w:p>
        </w:tc>
        <w:tc>
          <w:tcPr>
            <w:tcW w:w="4220" w:type="pct"/>
            <w:tcBorders>
              <w:top w:val="nil"/>
              <w:left w:val="nil"/>
              <w:bottom w:val="single" w:sz="8" w:space="0" w:color="auto"/>
              <w:right w:val="single" w:sz="8" w:space="0" w:color="auto"/>
            </w:tcBorders>
            <w:tcMar>
              <w:top w:w="0" w:type="dxa"/>
              <w:left w:w="108" w:type="dxa"/>
              <w:bottom w:w="0" w:type="dxa"/>
              <w:right w:w="108" w:type="dxa"/>
            </w:tcMar>
          </w:tcPr>
          <w:p w14:paraId="22CA2B60" w14:textId="77777777" w:rsidR="00C81F98" w:rsidRDefault="0067273C" w:rsidP="00C81F98">
            <w:pPr>
              <w:spacing w:after="0" w:line="240" w:lineRule="auto"/>
              <w:rPr>
                <w:rFonts w:ascii="Calibri" w:eastAsia="Calibri" w:hAnsi="Calibri" w:cs="Calibri"/>
                <w:kern w:val="0"/>
                <w:sz w:val="24"/>
                <w:szCs w:val="24"/>
              </w:rPr>
            </w:pPr>
            <w:r w:rsidRPr="0067273C">
              <w:rPr>
                <w:rFonts w:ascii="Calibri" w:eastAsia="Calibri" w:hAnsi="Calibri" w:cs="Calibri"/>
                <w:kern w:val="0"/>
                <w:sz w:val="24"/>
                <w:szCs w:val="24"/>
              </w:rPr>
              <w:t xml:space="preserve"> </w:t>
            </w:r>
          </w:p>
          <w:p w14:paraId="5544C7F1" w14:textId="06D48A4C" w:rsidR="00C81F98" w:rsidRPr="00C81F98" w:rsidRDefault="00C81F98" w:rsidP="00C81F98">
            <w:pPr>
              <w:spacing w:after="0" w:line="240" w:lineRule="auto"/>
              <w:rPr>
                <w:rFonts w:ascii="Calibri" w:eastAsia="Calibri" w:hAnsi="Calibri" w:cs="Calibri"/>
                <w:b/>
                <w:bCs/>
                <w:color w:val="C00000"/>
                <w:kern w:val="0"/>
                <w:sz w:val="24"/>
                <w:szCs w:val="24"/>
              </w:rPr>
            </w:pPr>
            <w:r w:rsidRPr="00C81F98">
              <w:rPr>
                <w:rFonts w:ascii="Calibri" w:eastAsia="Calibri" w:hAnsi="Calibri" w:cs="Calibri"/>
                <w:b/>
                <w:bCs/>
                <w:color w:val="C00000"/>
                <w:kern w:val="0"/>
                <w:sz w:val="24"/>
                <w:szCs w:val="24"/>
              </w:rPr>
              <w:t>Orta Vadeli Program (2026-2028): Türkiye’nin Yeni Ekonomi Yol Haritası</w:t>
            </w:r>
          </w:p>
          <w:p w14:paraId="0D31097C" w14:textId="3C609ABB" w:rsidR="00911032" w:rsidRPr="006A78FB" w:rsidRDefault="00911032" w:rsidP="006A78FB"/>
        </w:tc>
      </w:tr>
      <w:tr w:rsidR="00911032" w:rsidRPr="00911032" w14:paraId="323AB9B9" w14:textId="77777777" w:rsidTr="00911032">
        <w:trPr>
          <w:trHeight w:val="1838"/>
          <w:jc w:val="center"/>
        </w:trPr>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31F5A" w14:textId="39D0BBAE" w:rsidR="00911032" w:rsidRPr="00911032" w:rsidRDefault="00911032" w:rsidP="00911032">
            <w:pPr>
              <w:jc w:val="center"/>
              <w:rPr>
                <w:b/>
                <w:bCs/>
              </w:rPr>
            </w:pPr>
            <w:bookmarkStart w:id="0" w:name="m_9021101495396708293_m_7860569901479870"/>
            <w:r w:rsidRPr="00911032">
              <w:rPr>
                <w:b/>
                <w:bCs/>
              </w:rPr>
              <w:t>ÖZET &amp;</w:t>
            </w:r>
            <w:r w:rsidR="006A78FB">
              <w:rPr>
                <w:b/>
                <w:bCs/>
              </w:rPr>
              <w:t xml:space="preserve"> </w:t>
            </w:r>
            <w:r w:rsidRPr="00911032">
              <w:rPr>
                <w:b/>
                <w:bCs/>
              </w:rPr>
              <w:t>YORUM&amp; EK BİLGİ</w:t>
            </w:r>
            <w:bookmarkEnd w:id="0"/>
          </w:p>
        </w:tc>
        <w:tc>
          <w:tcPr>
            <w:tcW w:w="4220" w:type="pct"/>
            <w:tcBorders>
              <w:top w:val="nil"/>
              <w:left w:val="nil"/>
              <w:bottom w:val="single" w:sz="8" w:space="0" w:color="auto"/>
              <w:right w:val="single" w:sz="8" w:space="0" w:color="auto"/>
            </w:tcBorders>
            <w:tcMar>
              <w:top w:w="0" w:type="dxa"/>
              <w:left w:w="108" w:type="dxa"/>
              <w:bottom w:w="0" w:type="dxa"/>
              <w:right w:w="108" w:type="dxa"/>
            </w:tcMar>
            <w:vAlign w:val="center"/>
          </w:tcPr>
          <w:p w14:paraId="72EAB83F" w14:textId="77777777" w:rsidR="00C81F98" w:rsidRPr="00C81F98" w:rsidRDefault="00911032" w:rsidP="00C81F98">
            <w:pPr>
              <w:rPr>
                <w:b/>
                <w:bCs/>
              </w:rPr>
            </w:pPr>
            <w:r w:rsidRPr="00911032">
              <w:rPr>
                <w:b/>
                <w:bCs/>
              </w:rPr>
              <w:t> </w:t>
            </w:r>
            <w:r w:rsidR="00C81F98" w:rsidRPr="00C81F98">
              <w:rPr>
                <w:b/>
                <w:bCs/>
              </w:rPr>
              <w:t>* Cumhurbaşkanı Yardımcısı Cevdet Yılmaz, 2026-2028 Orta Vadeli Program'a ilişkin, "Enflasyonun program sonunda tek haneye kalıcı inmesini hedefliyoruz.  Türkiye ekonomisi,</w:t>
            </w:r>
          </w:p>
          <w:p w14:paraId="31AB4EDC" w14:textId="77777777" w:rsidR="00C81F98" w:rsidRPr="00C81F98" w:rsidRDefault="00C81F98" w:rsidP="00C81F98">
            <w:pPr>
              <w:rPr>
                <w:b/>
                <w:bCs/>
              </w:rPr>
            </w:pPr>
            <w:proofErr w:type="gramStart"/>
            <w:r w:rsidRPr="00C81F98">
              <w:rPr>
                <w:b/>
                <w:bCs/>
              </w:rPr>
              <w:t>program</w:t>
            </w:r>
            <w:proofErr w:type="gramEnd"/>
            <w:r w:rsidRPr="00C81F98">
              <w:rPr>
                <w:b/>
                <w:bCs/>
              </w:rPr>
              <w:t xml:space="preserve"> dönemi sonunda çok daha güçlü bir tabloya kavuşacaktır.</w:t>
            </w:r>
          </w:p>
          <w:p w14:paraId="13FD1F12" w14:textId="77777777" w:rsidR="00C81F98" w:rsidRPr="00C81F98" w:rsidRDefault="00C81F98" w:rsidP="00C81F98">
            <w:pPr>
              <w:rPr>
                <w:b/>
                <w:bCs/>
              </w:rPr>
            </w:pPr>
            <w:r w:rsidRPr="00C81F98">
              <w:rPr>
                <w:b/>
                <w:bCs/>
              </w:rPr>
              <w:t xml:space="preserve">* </w:t>
            </w:r>
            <w:proofErr w:type="spellStart"/>
            <w:r w:rsidRPr="00C81F98">
              <w:rPr>
                <w:b/>
                <w:bCs/>
              </w:rPr>
              <w:t>OVP'de</w:t>
            </w:r>
            <w:proofErr w:type="spellEnd"/>
            <w:r w:rsidRPr="00C81F98">
              <w:rPr>
                <w:b/>
                <w:bCs/>
              </w:rPr>
              <w:t xml:space="preserve"> 2025 yılı enflasyon hedefinde önceki tahmine göre %11'lik bir artış görülüyor. Geçen yıl yayımlanan son </w:t>
            </w:r>
            <w:proofErr w:type="spellStart"/>
            <w:r w:rsidRPr="00C81F98">
              <w:rPr>
                <w:b/>
                <w:bCs/>
              </w:rPr>
              <w:t>OVP'de</w:t>
            </w:r>
            <w:proofErr w:type="spellEnd"/>
            <w:r w:rsidRPr="00C81F98">
              <w:rPr>
                <w:b/>
                <w:bCs/>
              </w:rPr>
              <w:t xml:space="preserve"> %17,5 olarak belirlenen 2025 enflasyon hedefi %28,5'e yükseltildi.</w:t>
            </w:r>
          </w:p>
          <w:p w14:paraId="709DC483" w14:textId="77777777" w:rsidR="00C81F98" w:rsidRPr="00C81F98" w:rsidRDefault="00C81F98" w:rsidP="00C81F98">
            <w:pPr>
              <w:rPr>
                <w:b/>
                <w:bCs/>
              </w:rPr>
            </w:pPr>
            <w:r w:rsidRPr="00C81F98">
              <w:rPr>
                <w:b/>
                <w:bCs/>
              </w:rPr>
              <w:t xml:space="preserve">* Cumhurbaşkanı Yardımcısı Cevdet Yılmaz, geçen yıl eylül ayında uygulamaya konulan </w:t>
            </w:r>
            <w:proofErr w:type="spellStart"/>
            <w:r w:rsidRPr="00C81F98">
              <w:rPr>
                <w:b/>
                <w:bCs/>
              </w:rPr>
              <w:t>OVP'den</w:t>
            </w:r>
            <w:proofErr w:type="spellEnd"/>
            <w:r w:rsidRPr="00C81F98">
              <w:rPr>
                <w:b/>
                <w:bCs/>
              </w:rPr>
              <w:t xml:space="preserve"> bu yana küresel ve bölgesel düzeyde pek çok olumsuz gelişmenin yaşandığını,</w:t>
            </w:r>
          </w:p>
          <w:p w14:paraId="6F88C0A9" w14:textId="77777777" w:rsidR="00C81F98" w:rsidRPr="00C81F98" w:rsidRDefault="00C81F98" w:rsidP="00C81F98">
            <w:pPr>
              <w:rPr>
                <w:b/>
                <w:bCs/>
              </w:rPr>
            </w:pPr>
            <w:proofErr w:type="gramStart"/>
            <w:r w:rsidRPr="00C81F98">
              <w:rPr>
                <w:b/>
                <w:bCs/>
              </w:rPr>
              <w:t>ticaret</w:t>
            </w:r>
            <w:proofErr w:type="gramEnd"/>
            <w:r w:rsidRPr="00C81F98">
              <w:rPr>
                <w:b/>
                <w:bCs/>
              </w:rPr>
              <w:t xml:space="preserve"> politikalarındaki belirsizliklerin tarihi zirvelerini gördüğünü, artan jeopolitik risklerle dünya genelinde büyüme görünümünün baskılandığını belirterek, "Bu dönemde yaşanan</w:t>
            </w:r>
          </w:p>
          <w:p w14:paraId="6C5402F6" w14:textId="77777777" w:rsidR="00C81F98" w:rsidRPr="00C81F98" w:rsidRDefault="00C81F98" w:rsidP="00C81F98">
            <w:pPr>
              <w:rPr>
                <w:b/>
                <w:bCs/>
              </w:rPr>
            </w:pPr>
            <w:proofErr w:type="gramStart"/>
            <w:r w:rsidRPr="00C81F98">
              <w:rPr>
                <w:b/>
                <w:bCs/>
              </w:rPr>
              <w:t>pek</w:t>
            </w:r>
            <w:proofErr w:type="gramEnd"/>
            <w:r w:rsidRPr="00C81F98">
              <w:rPr>
                <w:b/>
                <w:bCs/>
              </w:rPr>
              <w:t xml:space="preserve"> çok menfi hadiseye rağmen temel makroekonomik politika yaklaşımımız kararlılıkla sürdürülmüş, fiyat istikrarı, mali disiplin ve sürdürülebilir büyüme hedeflerimizden sapma olmamıştır.</w:t>
            </w:r>
          </w:p>
          <w:p w14:paraId="6E028309" w14:textId="77777777" w:rsidR="00C81F98" w:rsidRPr="00C81F98" w:rsidRDefault="00C81F98" w:rsidP="00C81F98">
            <w:pPr>
              <w:rPr>
                <w:b/>
                <w:bCs/>
              </w:rPr>
            </w:pPr>
            <w:r w:rsidRPr="00C81F98">
              <w:rPr>
                <w:b/>
                <w:bCs/>
              </w:rPr>
              <w:t>Bu dönemde ekonomimiz benzer ülkelere kıyasla olumlu ayrışmaya devam ederek, dış şoklara karşı dayanıklılığını bir kez daha ortaya koymuştur.</w:t>
            </w:r>
          </w:p>
          <w:p w14:paraId="7169F138" w14:textId="77777777" w:rsidR="00C81F98" w:rsidRPr="00C81F98" w:rsidRDefault="00C81F98" w:rsidP="00C81F98">
            <w:pPr>
              <w:rPr>
                <w:b/>
                <w:bCs/>
              </w:rPr>
            </w:pPr>
            <w:r w:rsidRPr="00C81F98">
              <w:rPr>
                <w:b/>
                <w:bCs/>
              </w:rPr>
              <w:t>* Cumhurbaşkanı Yardımcısı Yılmaz, enflasyon beklentileri ve ana eğilim göstergelerindeki iyileşmeyle, eylül ayı ve yılın geri kalanında da dezenflasyon sürecinin kesintisiz bir şekilde</w:t>
            </w:r>
          </w:p>
          <w:p w14:paraId="0857E26A" w14:textId="77777777" w:rsidR="00C81F98" w:rsidRPr="00C81F98" w:rsidRDefault="00C81F98" w:rsidP="00C81F98">
            <w:pPr>
              <w:rPr>
                <w:b/>
                <w:bCs/>
              </w:rPr>
            </w:pPr>
            <w:proofErr w:type="gramStart"/>
            <w:r w:rsidRPr="00C81F98">
              <w:rPr>
                <w:b/>
                <w:bCs/>
              </w:rPr>
              <w:t>devam</w:t>
            </w:r>
            <w:proofErr w:type="gramEnd"/>
            <w:r w:rsidRPr="00C81F98">
              <w:rPr>
                <w:b/>
                <w:bCs/>
              </w:rPr>
              <w:t xml:space="preserve"> etmesini beklediklerini </w:t>
            </w:r>
            <w:proofErr w:type="spellStart"/>
            <w:r w:rsidRPr="00C81F98">
              <w:rPr>
                <w:b/>
                <w:bCs/>
              </w:rPr>
              <w:t>söyledi."Dünya</w:t>
            </w:r>
            <w:proofErr w:type="spellEnd"/>
            <w:r w:rsidRPr="00C81F98">
              <w:rPr>
                <w:b/>
                <w:bCs/>
              </w:rPr>
              <w:t xml:space="preserve"> genelinde enflasyonla mücadele politikalarının devamı ve parasal gevşeme döngüsünün ötelenmesiyle görece sıkı seyreden finansal koşullar,</w:t>
            </w:r>
          </w:p>
          <w:p w14:paraId="2E95B3BB" w14:textId="77777777" w:rsidR="00C81F98" w:rsidRPr="00C81F98" w:rsidRDefault="00C81F98" w:rsidP="00C81F98">
            <w:pPr>
              <w:rPr>
                <w:b/>
                <w:bCs/>
              </w:rPr>
            </w:pPr>
            <w:proofErr w:type="gramStart"/>
            <w:r w:rsidRPr="00C81F98">
              <w:rPr>
                <w:b/>
                <w:bCs/>
              </w:rPr>
              <w:t>zayıf</w:t>
            </w:r>
            <w:proofErr w:type="gramEnd"/>
            <w:r w:rsidRPr="00C81F98">
              <w:rPr>
                <w:b/>
                <w:bCs/>
              </w:rPr>
              <w:t xml:space="preserve"> seyreden dış talep ve artan jeopolitik gerilimler gibi pek çok olumsuz gelişmeye rağmen Türkiye ekonomisi dayanıklı ve dengeli görünümünü korumaktadır" diyen Yılmaz, ekonominin,</w:t>
            </w:r>
          </w:p>
          <w:p w14:paraId="401CE1C1" w14:textId="77777777" w:rsidR="00C81F98" w:rsidRPr="00C81F98" w:rsidRDefault="00C81F98" w:rsidP="00C81F98">
            <w:pPr>
              <w:rPr>
                <w:b/>
                <w:bCs/>
              </w:rPr>
            </w:pPr>
            <w:r w:rsidRPr="00C81F98">
              <w:rPr>
                <w:b/>
                <w:bCs/>
              </w:rPr>
              <w:t>2024 yılı genelinde dezenflasyon sürecine uyumlu şekilde ılımlı seviyelerde ve dengeli şekilde yüzde 3,3 oranında büyüme kaydettiğini ve 15 yıl boyunca kesintisiz büyümesini sürdürdüğünü ifade etti.</w:t>
            </w:r>
          </w:p>
          <w:p w14:paraId="4A15535B" w14:textId="77777777" w:rsidR="00C81F98" w:rsidRPr="00C81F98" w:rsidRDefault="00C81F98" w:rsidP="00C81F98">
            <w:pPr>
              <w:rPr>
                <w:b/>
                <w:bCs/>
              </w:rPr>
            </w:pPr>
            <w:r w:rsidRPr="00C81F98">
              <w:rPr>
                <w:b/>
                <w:bCs/>
              </w:rPr>
              <w:t xml:space="preserve">T.C. Ticaret </w:t>
            </w:r>
            <w:proofErr w:type="gramStart"/>
            <w:r w:rsidRPr="00C81F98">
              <w:rPr>
                <w:b/>
                <w:bCs/>
              </w:rPr>
              <w:t>Bakanlığı,  2026</w:t>
            </w:r>
            <w:proofErr w:type="gramEnd"/>
            <w:r w:rsidRPr="00C81F98">
              <w:rPr>
                <w:b/>
                <w:bCs/>
              </w:rPr>
              <w:t>-2028 OVP=Orta Vadeli Program Kapsamında;</w:t>
            </w:r>
            <w:r w:rsidRPr="00C81F98">
              <w:rPr>
                <w:b/>
                <w:bCs/>
              </w:rPr>
              <w:br/>
            </w:r>
            <w:r w:rsidRPr="00C81F98">
              <w:rPr>
                <w:b/>
                <w:bCs/>
              </w:rPr>
              <w:br/>
              <w:t>* İhracatta Rekabetçiliğin Artırılması,</w:t>
            </w:r>
            <w:r w:rsidRPr="00C81F98">
              <w:rPr>
                <w:b/>
                <w:bCs/>
              </w:rPr>
              <w:br/>
              <w:t>* Yeni Pazarlarda Güçlenme,</w:t>
            </w:r>
            <w:r w:rsidRPr="00C81F98">
              <w:rPr>
                <w:b/>
                <w:bCs/>
              </w:rPr>
              <w:br/>
              <w:t>* Yerli Üretimin Korunması,</w:t>
            </w:r>
            <w:r w:rsidRPr="00C81F98">
              <w:rPr>
                <w:b/>
                <w:bCs/>
              </w:rPr>
              <w:br/>
              <w:t>* İthalat Bağımlılığının Azaltılması,</w:t>
            </w:r>
            <w:r w:rsidRPr="00C81F98">
              <w:rPr>
                <w:b/>
                <w:bCs/>
              </w:rPr>
              <w:br/>
              <w:t xml:space="preserve">* Dış Ticarette İş Süreçlerinin </w:t>
            </w:r>
            <w:proofErr w:type="gramStart"/>
            <w:r w:rsidRPr="00C81F98">
              <w:rPr>
                <w:b/>
                <w:bCs/>
              </w:rPr>
              <w:t>Kolaylaştırılması,  Hedefleri</w:t>
            </w:r>
            <w:proofErr w:type="gramEnd"/>
            <w:r w:rsidRPr="00C81F98">
              <w:rPr>
                <w:b/>
                <w:bCs/>
              </w:rPr>
              <w:t xml:space="preserve"> Doğrultusunda Stratejik Adımlar Atacaktır.</w:t>
            </w:r>
          </w:p>
          <w:p w14:paraId="2F2B9703" w14:textId="77777777" w:rsidR="00C81F98" w:rsidRPr="00C81F98" w:rsidRDefault="00C81F98" w:rsidP="00C81F98">
            <w:pPr>
              <w:rPr>
                <w:b/>
                <w:bCs/>
              </w:rPr>
            </w:pPr>
            <w:r w:rsidRPr="00C81F98">
              <w:rPr>
                <w:b/>
                <w:bCs/>
              </w:rPr>
              <w:t> </w:t>
            </w:r>
          </w:p>
          <w:p w14:paraId="6D1CFFB0" w14:textId="77777777" w:rsidR="00C81F98" w:rsidRPr="00C81F98" w:rsidRDefault="00C81F98" w:rsidP="00C81F98">
            <w:pPr>
              <w:rPr>
                <w:b/>
                <w:bCs/>
              </w:rPr>
            </w:pPr>
            <w:r w:rsidRPr="00C81F98">
              <w:rPr>
                <w:b/>
                <w:bCs/>
              </w:rPr>
              <w:t xml:space="preserve">Ticaret Bakanlığı, 2026-2028 dönemini kapsayan Orta Vadeli Program (OVP) çerçevesinde, Türkiye’nin ihracat hedeflerini açıkladı. </w:t>
            </w:r>
          </w:p>
          <w:p w14:paraId="0C89E612" w14:textId="77777777" w:rsidR="00C81F98" w:rsidRPr="00C81F98" w:rsidRDefault="00C81F98" w:rsidP="00C81F98">
            <w:pPr>
              <w:rPr>
                <w:b/>
                <w:bCs/>
              </w:rPr>
            </w:pPr>
            <w:r w:rsidRPr="00C81F98">
              <w:rPr>
                <w:b/>
                <w:bCs/>
              </w:rPr>
              <w:lastRenderedPageBreak/>
              <w:t xml:space="preserve">Buna göre, 2025 yılında 273,8 milyar dolar olarak öngörülen mal ihracatının 2026’da 282 milyar dolara, 2028’de ise 308,5 milyar dolara çıkarılması planlanıyor. </w:t>
            </w:r>
          </w:p>
          <w:p w14:paraId="214C0001" w14:textId="77777777" w:rsidR="00C81F98" w:rsidRPr="00C81F98" w:rsidRDefault="00C81F98" w:rsidP="00C81F98">
            <w:pPr>
              <w:rPr>
                <w:b/>
                <w:bCs/>
              </w:rPr>
            </w:pPr>
            <w:r w:rsidRPr="00C81F98">
              <w:rPr>
                <w:b/>
                <w:bCs/>
              </w:rPr>
              <w:t>Bakanlık, ürün ve pazar çeşitliliğinin artırılarak Türkiye’nin dünya ticaretinden aldığı payın yükseltilmesini hedefliyor.</w:t>
            </w:r>
          </w:p>
          <w:p w14:paraId="7BA8FA6E" w14:textId="77777777" w:rsidR="00C81F98" w:rsidRPr="00C81F98" w:rsidRDefault="00C81F98" w:rsidP="00C81F98">
            <w:pPr>
              <w:rPr>
                <w:b/>
                <w:bCs/>
              </w:rPr>
            </w:pPr>
            <w:r w:rsidRPr="00C81F98">
              <w:rPr>
                <w:b/>
                <w:bCs/>
              </w:rPr>
              <w:t xml:space="preserve">Cari Açık Kademeli </w:t>
            </w:r>
            <w:proofErr w:type="gramStart"/>
            <w:r w:rsidRPr="00C81F98">
              <w:rPr>
                <w:b/>
                <w:bCs/>
              </w:rPr>
              <w:t>Düşecek :</w:t>
            </w:r>
            <w:proofErr w:type="gramEnd"/>
            <w:r w:rsidRPr="00C81F98">
              <w:rPr>
                <w:b/>
                <w:bCs/>
              </w:rPr>
              <w:t xml:space="preserve"> Açıklamada, cari işlemler açığının 2025’te 22,6 milyar dolar seviyesinde gerçekleşmesinin beklendiği, 2028’de ise 18,5 milyar dolara kadar gerileyeceği belirtildi. Cari açığın GSYH’ye oranının ise yüzde 1,4’ten yüzde 1’e düşürülmesinin hedeflendiği kaydedildi.</w:t>
            </w:r>
          </w:p>
          <w:p w14:paraId="1C9C4686" w14:textId="77777777" w:rsidR="00C81F98" w:rsidRPr="00C81F98" w:rsidRDefault="00C81F98" w:rsidP="00C81F98">
            <w:pPr>
              <w:rPr>
                <w:b/>
                <w:bCs/>
              </w:rPr>
            </w:pPr>
            <w:r w:rsidRPr="00C81F98">
              <w:rPr>
                <w:b/>
                <w:bCs/>
              </w:rPr>
              <w:t xml:space="preserve">Yerli Üretim ve Dijitalleşme </w:t>
            </w:r>
            <w:proofErr w:type="gramStart"/>
            <w:r w:rsidRPr="00C81F98">
              <w:rPr>
                <w:b/>
                <w:bCs/>
              </w:rPr>
              <w:t>Öncelikli :</w:t>
            </w:r>
            <w:proofErr w:type="gramEnd"/>
            <w:r w:rsidRPr="00C81F98">
              <w:rPr>
                <w:b/>
                <w:bCs/>
              </w:rPr>
              <w:t xml:space="preserve"> Bakanlık, ithalatın yerli üretime etkilerini azaltmak için uluslararası yükümlülüklere uygun koruma tedbirleri alacağını, yerli üretimin teşvik edilmesine devam edileceğini açıkladı. Ayrıca, ticaretin kolaylaştırılması ve dijitalleşme adımlarının hızlandırılacağı, gümrük kapılarının işlem kapasitelerinin artırılacağı ve ihracat işlemlerinin basitleştirileceği ifade edildi.</w:t>
            </w:r>
          </w:p>
          <w:p w14:paraId="324A4032" w14:textId="77777777" w:rsidR="00C81F98" w:rsidRPr="00C81F98" w:rsidRDefault="00C81F98" w:rsidP="00C81F98">
            <w:pPr>
              <w:rPr>
                <w:b/>
                <w:bCs/>
              </w:rPr>
            </w:pPr>
            <w:r w:rsidRPr="00C81F98">
              <w:rPr>
                <w:b/>
                <w:bCs/>
              </w:rPr>
              <w:t xml:space="preserve">‘Ticaretin Yüzyılı’ </w:t>
            </w:r>
            <w:proofErr w:type="gramStart"/>
            <w:r w:rsidRPr="00C81F98">
              <w:rPr>
                <w:b/>
                <w:bCs/>
              </w:rPr>
              <w:t>Vizyonu :</w:t>
            </w:r>
            <w:proofErr w:type="gramEnd"/>
            <w:r w:rsidRPr="00C81F98">
              <w:rPr>
                <w:b/>
                <w:bCs/>
              </w:rPr>
              <w:t xml:space="preserve"> “Ticaretin Yüzyılı” vizyonu kapsamında şirket kuruluş süreçlerinin dijitalleşeceği, girişimciler için başlangıç muafiyetleri sağlanacağı ve yeni finansman imkanlarının devreye alınacağı belirtildi. Açıklamada, “Ticaret Bakanlığı, daha rekabetçi bir ekonomi, güçlü ihracat ve sürdürülebilir büyüme için tüm gücüyle çalışmayı sürdürecektir”</w:t>
            </w:r>
          </w:p>
          <w:p w14:paraId="1B33C58D" w14:textId="2F0D7445" w:rsidR="00911032" w:rsidRDefault="00911032" w:rsidP="00911032">
            <w:pPr>
              <w:rPr>
                <w:b/>
                <w:bCs/>
              </w:rPr>
            </w:pPr>
          </w:p>
          <w:p w14:paraId="3A097B24" w14:textId="3A4E33ED" w:rsidR="00C81F98" w:rsidRPr="00D676A2" w:rsidRDefault="00CA029A" w:rsidP="00C81F98">
            <w:pPr>
              <w:rPr>
                <w:b/>
                <w:bCs/>
              </w:rPr>
            </w:pPr>
            <w:r w:rsidRPr="00CA029A">
              <w:rPr>
                <w:b/>
                <w:bCs/>
              </w:rPr>
              <w:t xml:space="preserve"> </w:t>
            </w:r>
          </w:p>
          <w:p w14:paraId="11A6C9ED" w14:textId="44B74EB9" w:rsidR="00911032" w:rsidRPr="00911032" w:rsidRDefault="00911032" w:rsidP="00911032"/>
          <w:p w14:paraId="469D49B0" w14:textId="77777777" w:rsidR="00911032" w:rsidRPr="00911032" w:rsidRDefault="00911032" w:rsidP="00911032"/>
          <w:p w14:paraId="1B20AE72" w14:textId="77777777" w:rsidR="00911032" w:rsidRPr="00911032" w:rsidRDefault="00911032" w:rsidP="00911032">
            <w:r w:rsidRPr="00911032">
              <w:t> </w:t>
            </w:r>
          </w:p>
          <w:p w14:paraId="4FD10628" w14:textId="77777777" w:rsidR="00911032" w:rsidRPr="00911032" w:rsidRDefault="00911032" w:rsidP="00911032"/>
          <w:p w14:paraId="20E615F5" w14:textId="77777777" w:rsidR="00911032" w:rsidRPr="00911032" w:rsidRDefault="00911032" w:rsidP="00911032"/>
          <w:p w14:paraId="35E52149" w14:textId="77777777" w:rsidR="00911032" w:rsidRPr="00911032" w:rsidRDefault="00911032" w:rsidP="00911032"/>
        </w:tc>
      </w:tr>
      <w:tr w:rsidR="00911032" w:rsidRPr="00911032" w14:paraId="4EBEB802"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3BDA2" w14:textId="77777777" w:rsidR="00911032" w:rsidRPr="00911032" w:rsidRDefault="00911032" w:rsidP="00911032"/>
        </w:tc>
      </w:tr>
      <w:tr w:rsidR="00911032" w:rsidRPr="00911032" w14:paraId="4BADF7A6" w14:textId="77777777" w:rsidTr="00911032">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5FB7F" w14:textId="77777777" w:rsidR="00911032" w:rsidRPr="00911032" w:rsidRDefault="00911032" w:rsidP="00911032">
            <w:pPr>
              <w:jc w:val="center"/>
              <w:rPr>
                <w:b/>
                <w:bCs/>
              </w:rPr>
            </w:pPr>
            <w:r w:rsidRPr="00911032">
              <w:rPr>
                <w:b/>
                <w:bCs/>
              </w:rPr>
              <w:t>KAYNAK</w:t>
            </w:r>
          </w:p>
        </w:tc>
      </w:tr>
      <w:tr w:rsidR="00911032" w:rsidRPr="00911032" w14:paraId="3796A41F" w14:textId="77777777" w:rsidTr="00911032">
        <w:trPr>
          <w:jc w:val="center"/>
        </w:trPr>
        <w:tc>
          <w:tcPr>
            <w:tcW w:w="5000" w:type="pct"/>
            <w:gridSpan w:val="2"/>
            <w:tcBorders>
              <w:top w:val="nil"/>
              <w:left w:val="single" w:sz="8" w:space="0" w:color="auto"/>
              <w:bottom w:val="nil"/>
              <w:right w:val="single" w:sz="8" w:space="0" w:color="auto"/>
            </w:tcBorders>
            <w:tcMar>
              <w:top w:w="0" w:type="dxa"/>
              <w:left w:w="108" w:type="dxa"/>
              <w:bottom w:w="0" w:type="dxa"/>
              <w:right w:w="108" w:type="dxa"/>
            </w:tcMar>
            <w:hideMark/>
          </w:tcPr>
          <w:p w14:paraId="6C028434" w14:textId="77777777" w:rsidR="00911032" w:rsidRPr="00911032" w:rsidRDefault="00911032" w:rsidP="00911032"/>
        </w:tc>
      </w:tr>
      <w:tr w:rsidR="00911032" w:rsidRPr="00911032" w14:paraId="3E2B45F3" w14:textId="77777777" w:rsidTr="00911032">
        <w:trPr>
          <w:trHeight w:val="6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FC06" w14:textId="77777777" w:rsidR="00911032" w:rsidRPr="00911032" w:rsidRDefault="00911032" w:rsidP="00911032"/>
        </w:tc>
      </w:tr>
    </w:tbl>
    <w:p w14:paraId="1D2757F7" w14:textId="77777777" w:rsidR="00911032" w:rsidRPr="00911032" w:rsidRDefault="00911032" w:rsidP="00911032"/>
    <w:p w14:paraId="302FAA15" w14:textId="77777777" w:rsidR="00911032" w:rsidRDefault="00911032"/>
    <w:sectPr w:rsidR="00911032" w:rsidSect="009110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32"/>
    <w:rsid w:val="00355282"/>
    <w:rsid w:val="0037190C"/>
    <w:rsid w:val="004055E4"/>
    <w:rsid w:val="00530637"/>
    <w:rsid w:val="005312AE"/>
    <w:rsid w:val="0067273C"/>
    <w:rsid w:val="006A78FB"/>
    <w:rsid w:val="00911032"/>
    <w:rsid w:val="00916030"/>
    <w:rsid w:val="00926FCE"/>
    <w:rsid w:val="00995334"/>
    <w:rsid w:val="00A65251"/>
    <w:rsid w:val="00AD080F"/>
    <w:rsid w:val="00C81F98"/>
    <w:rsid w:val="00CA029A"/>
    <w:rsid w:val="00CF7983"/>
    <w:rsid w:val="00D676A2"/>
    <w:rsid w:val="00EA6DD2"/>
    <w:rsid w:val="00FC4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D75"/>
  <w15:chartTrackingRefBased/>
  <w15:docId w15:val="{0CFC75B5-6767-4BEE-A3DC-8E5B2A7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0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110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1103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1103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1103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110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0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0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0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03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1103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1103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1103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1103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110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0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0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032"/>
    <w:rPr>
      <w:rFonts w:eastAsiaTheme="majorEastAsia" w:cstheme="majorBidi"/>
      <w:color w:val="272727" w:themeColor="text1" w:themeTint="D8"/>
    </w:rPr>
  </w:style>
  <w:style w:type="paragraph" w:styleId="KonuBal">
    <w:name w:val="Title"/>
    <w:basedOn w:val="Normal"/>
    <w:next w:val="Normal"/>
    <w:link w:val="KonuBalChar"/>
    <w:uiPriority w:val="10"/>
    <w:qFormat/>
    <w:rsid w:val="0091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0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0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0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0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032"/>
    <w:rPr>
      <w:i/>
      <w:iCs/>
      <w:color w:val="404040" w:themeColor="text1" w:themeTint="BF"/>
    </w:rPr>
  </w:style>
  <w:style w:type="paragraph" w:styleId="ListeParagraf">
    <w:name w:val="List Paragraph"/>
    <w:basedOn w:val="Normal"/>
    <w:uiPriority w:val="34"/>
    <w:qFormat/>
    <w:rsid w:val="00911032"/>
    <w:pPr>
      <w:ind w:left="720"/>
      <w:contextualSpacing/>
    </w:pPr>
  </w:style>
  <w:style w:type="character" w:styleId="GlVurgulama">
    <w:name w:val="Intense Emphasis"/>
    <w:basedOn w:val="VarsaylanParagrafYazTipi"/>
    <w:uiPriority w:val="21"/>
    <w:qFormat/>
    <w:rsid w:val="00911032"/>
    <w:rPr>
      <w:i/>
      <w:iCs/>
      <w:color w:val="2F5496" w:themeColor="accent1" w:themeShade="BF"/>
    </w:rPr>
  </w:style>
  <w:style w:type="paragraph" w:styleId="GlAlnt">
    <w:name w:val="Intense Quote"/>
    <w:basedOn w:val="Normal"/>
    <w:next w:val="Normal"/>
    <w:link w:val="GlAlntChar"/>
    <w:uiPriority w:val="30"/>
    <w:qFormat/>
    <w:rsid w:val="0091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11032"/>
    <w:rPr>
      <w:i/>
      <w:iCs/>
      <w:color w:val="2F5496" w:themeColor="accent1" w:themeShade="BF"/>
    </w:rPr>
  </w:style>
  <w:style w:type="character" w:styleId="GlBavuru">
    <w:name w:val="Intense Reference"/>
    <w:basedOn w:val="VarsaylanParagrafYazTipi"/>
    <w:uiPriority w:val="32"/>
    <w:qFormat/>
    <w:rsid w:val="00911032"/>
    <w:rPr>
      <w:b/>
      <w:bCs/>
      <w:smallCaps/>
      <w:color w:val="2F5496" w:themeColor="accent1" w:themeShade="BF"/>
      <w:spacing w:val="5"/>
    </w:rPr>
  </w:style>
  <w:style w:type="character" w:styleId="Kpr">
    <w:name w:val="Hyperlink"/>
    <w:basedOn w:val="VarsaylanParagrafYazTipi"/>
    <w:uiPriority w:val="99"/>
    <w:unhideWhenUsed/>
    <w:rsid w:val="00911032"/>
    <w:rPr>
      <w:color w:val="0563C1" w:themeColor="hyperlink"/>
      <w:u w:val="single"/>
    </w:rPr>
  </w:style>
  <w:style w:type="character" w:styleId="zmlenmeyenBahsetme">
    <w:name w:val="Unresolved Mention"/>
    <w:basedOn w:val="VarsaylanParagrafYazTipi"/>
    <w:uiPriority w:val="99"/>
    <w:semiHidden/>
    <w:unhideWhenUsed/>
    <w:rsid w:val="0091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842">
      <w:bodyDiv w:val="1"/>
      <w:marLeft w:val="0"/>
      <w:marRight w:val="0"/>
      <w:marTop w:val="0"/>
      <w:marBottom w:val="0"/>
      <w:divBdr>
        <w:top w:val="none" w:sz="0" w:space="0" w:color="auto"/>
        <w:left w:val="none" w:sz="0" w:space="0" w:color="auto"/>
        <w:bottom w:val="none" w:sz="0" w:space="0" w:color="auto"/>
        <w:right w:val="none" w:sz="0" w:space="0" w:color="auto"/>
      </w:divBdr>
    </w:div>
    <w:div w:id="96145394">
      <w:bodyDiv w:val="1"/>
      <w:marLeft w:val="0"/>
      <w:marRight w:val="0"/>
      <w:marTop w:val="0"/>
      <w:marBottom w:val="0"/>
      <w:divBdr>
        <w:top w:val="none" w:sz="0" w:space="0" w:color="auto"/>
        <w:left w:val="none" w:sz="0" w:space="0" w:color="auto"/>
        <w:bottom w:val="none" w:sz="0" w:space="0" w:color="auto"/>
        <w:right w:val="none" w:sz="0" w:space="0" w:color="auto"/>
      </w:divBdr>
    </w:div>
    <w:div w:id="1819151256">
      <w:bodyDiv w:val="1"/>
      <w:marLeft w:val="0"/>
      <w:marRight w:val="0"/>
      <w:marTop w:val="0"/>
      <w:marBottom w:val="0"/>
      <w:divBdr>
        <w:top w:val="none" w:sz="0" w:space="0" w:color="auto"/>
        <w:left w:val="none" w:sz="0" w:space="0" w:color="auto"/>
        <w:bottom w:val="none" w:sz="0" w:space="0" w:color="auto"/>
        <w:right w:val="none" w:sz="0" w:space="0" w:color="auto"/>
      </w:divBdr>
    </w:div>
    <w:div w:id="204151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AC610.785936E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2315-6B9A-472F-9EC1-6A139734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Çakmak</dc:creator>
  <cp:keywords/>
  <dc:description/>
  <cp:lastModifiedBy>BT</cp:lastModifiedBy>
  <cp:revision>2</cp:revision>
  <dcterms:created xsi:type="dcterms:W3CDTF">2025-09-09T10:37:00Z</dcterms:created>
  <dcterms:modified xsi:type="dcterms:W3CDTF">2025-09-09T10:37:00Z</dcterms:modified>
</cp:coreProperties>
</file>