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Default="00911032">
      <w:r>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911032"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911032" w:rsidRDefault="00911032" w:rsidP="00911032">
            <w:pPr>
              <w:jc w:val="center"/>
              <w:rPr>
                <w:b/>
                <w:bCs/>
              </w:rPr>
            </w:pPr>
            <w:r w:rsidRPr="00911032">
              <w:rPr>
                <w:b/>
                <w:bCs/>
              </w:rPr>
              <w:t>DUYURU</w:t>
            </w:r>
          </w:p>
        </w:tc>
      </w:tr>
      <w:tr w:rsidR="00911032" w:rsidRPr="00911032"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911032" w:rsidRDefault="00911032" w:rsidP="00911032">
            <w:pPr>
              <w:jc w:val="center"/>
              <w:rPr>
                <w:b/>
                <w:bCs/>
              </w:rPr>
            </w:pPr>
            <w:r w:rsidRPr="00911032">
              <w:rPr>
                <w:b/>
                <w:bCs/>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B066D48" w14:textId="77777777" w:rsidR="00CA029A" w:rsidRPr="00CA029A" w:rsidRDefault="0067273C" w:rsidP="00CA029A">
            <w:pPr>
              <w:spacing w:after="0" w:line="240" w:lineRule="auto"/>
              <w:rPr>
                <w:rFonts w:ascii="Calibri" w:eastAsia="Calibri" w:hAnsi="Calibri" w:cs="Calibri"/>
                <w:b/>
                <w:bCs/>
                <w:color w:val="C00000"/>
                <w:kern w:val="0"/>
                <w:sz w:val="24"/>
                <w:szCs w:val="24"/>
              </w:rPr>
            </w:pPr>
            <w:r w:rsidRPr="0067273C">
              <w:rPr>
                <w:rFonts w:ascii="Calibri" w:eastAsia="Calibri" w:hAnsi="Calibri" w:cs="Calibri"/>
                <w:kern w:val="0"/>
                <w:sz w:val="24"/>
                <w:szCs w:val="24"/>
              </w:rPr>
              <w:t xml:space="preserve"> </w:t>
            </w:r>
            <w:r w:rsidR="00CA029A" w:rsidRPr="00CA029A">
              <w:rPr>
                <w:rFonts w:ascii="Calibri" w:eastAsia="Calibri" w:hAnsi="Calibri" w:cs="Calibri"/>
                <w:b/>
                <w:bCs/>
                <w:color w:val="C00000"/>
                <w:kern w:val="0"/>
                <w:sz w:val="24"/>
                <w:szCs w:val="24"/>
              </w:rPr>
              <w:t>Katma Değer Vergisi Genel Uygulama Tebliğinde Değişiklik Yapılmasına Dair Tebliğ (Seri No: 55) (4.09.2025 t. 33007 s. R.G.)</w:t>
            </w:r>
          </w:p>
          <w:p w14:paraId="0D31097C" w14:textId="3C609ABB" w:rsidR="00911032" w:rsidRPr="006A78FB" w:rsidRDefault="00911032" w:rsidP="006A78FB"/>
        </w:tc>
      </w:tr>
      <w:tr w:rsidR="00911032" w:rsidRPr="00911032"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39D0BBAE" w:rsidR="00911032" w:rsidRPr="00911032" w:rsidRDefault="00911032" w:rsidP="00911032">
            <w:pPr>
              <w:jc w:val="center"/>
              <w:rPr>
                <w:b/>
                <w:bCs/>
              </w:rPr>
            </w:pPr>
            <w:bookmarkStart w:id="0" w:name="m_9021101495396708293_m_7860569901479870"/>
            <w:r w:rsidRPr="00911032">
              <w:rPr>
                <w:b/>
                <w:bCs/>
              </w:rPr>
              <w:t>ÖZET &amp;</w:t>
            </w:r>
            <w:r w:rsidR="006A78FB">
              <w:rPr>
                <w:b/>
                <w:bCs/>
              </w:rPr>
              <w:t xml:space="preserve"> </w:t>
            </w:r>
            <w:r w:rsidRPr="00911032">
              <w:rPr>
                <w:b/>
                <w:bCs/>
              </w:rPr>
              <w:t>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3C58D" w14:textId="3886CD93" w:rsidR="00911032" w:rsidRDefault="00911032" w:rsidP="00911032">
            <w:pPr>
              <w:rPr>
                <w:b/>
                <w:bCs/>
              </w:rPr>
            </w:pPr>
            <w:r w:rsidRPr="00911032">
              <w:rPr>
                <w:b/>
                <w:bCs/>
              </w:rPr>
              <w:t> </w:t>
            </w:r>
          </w:p>
          <w:p w14:paraId="350F4419" w14:textId="77777777" w:rsidR="00CA029A" w:rsidRPr="00CA029A" w:rsidRDefault="00CA029A" w:rsidP="00CA029A">
            <w:pPr>
              <w:rPr>
                <w:b/>
                <w:bCs/>
              </w:rPr>
            </w:pPr>
            <w:r w:rsidRPr="00CA029A">
              <w:rPr>
                <w:b/>
                <w:bCs/>
              </w:rPr>
              <w:t>*Aynı Tebliğin (II/B-7.1.) bölümünün sonuna aşağıdaki paragraf eklenmiştir</w:t>
            </w:r>
          </w:p>
          <w:p w14:paraId="25B4408F" w14:textId="77777777" w:rsidR="00CA029A" w:rsidRPr="00CA029A" w:rsidRDefault="00CA029A" w:rsidP="00CA029A">
            <w:pPr>
              <w:rPr>
                <w:b/>
                <w:bCs/>
              </w:rPr>
            </w:pPr>
            <w:r w:rsidRPr="00CA029A">
              <w:rPr>
                <w:b/>
                <w:bCs/>
              </w:rPr>
              <w:t xml:space="preserve">*Milli Savunma Bakanlığı veya Savunma Sanayii Başkanlığı tarafından savunma sanayii projesi olarak onaylanarak ihracına izin verilen uçak, helikopter, gemi, denizaltı, tank, panzer, zırhlı personel taşıyıcı, roket, füze gibi araçların </w:t>
            </w:r>
            <w:r w:rsidRPr="00CA029A">
              <w:rPr>
                <w:b/>
                <w:bCs/>
                <w:u w:val="single"/>
              </w:rPr>
              <w:t>imalatını yapan yüklenici firmalara bu imalata ilişkin yapılacak mal teslimi ve hizmet ifaları da 3065 sayılı Kanunun 13/f maddesi kapsamında KDV’den istisna olacaktır.”</w:t>
            </w:r>
          </w:p>
          <w:p w14:paraId="0F1D80C0" w14:textId="77777777" w:rsidR="00CA029A" w:rsidRPr="00CA029A" w:rsidRDefault="00CA029A" w:rsidP="00CA029A">
            <w:pPr>
              <w:rPr>
                <w:b/>
                <w:bCs/>
              </w:rPr>
            </w:pPr>
            <w:r w:rsidRPr="00CA029A">
              <w:rPr>
                <w:b/>
                <w:bCs/>
              </w:rPr>
              <w:t> </w:t>
            </w:r>
          </w:p>
          <w:p w14:paraId="79E0EE35" w14:textId="77777777" w:rsidR="00CA029A" w:rsidRPr="00CA029A" w:rsidRDefault="00CA029A" w:rsidP="00CA029A">
            <w:pPr>
              <w:rPr>
                <w:b/>
                <w:bCs/>
              </w:rPr>
            </w:pPr>
            <w:r w:rsidRPr="00CA029A">
              <w:rPr>
                <w:b/>
                <w:bCs/>
              </w:rPr>
              <w:t> </w:t>
            </w:r>
          </w:p>
          <w:p w14:paraId="451F6AC1" w14:textId="77777777" w:rsidR="00CA029A" w:rsidRPr="00CA029A" w:rsidRDefault="00CA029A" w:rsidP="00CA029A">
            <w:pPr>
              <w:rPr>
                <w:b/>
                <w:bCs/>
              </w:rPr>
            </w:pPr>
            <w:r w:rsidRPr="00CA029A">
              <w:rPr>
                <w:b/>
                <w:bCs/>
              </w:rPr>
              <w:t>**Aynı Tebliğe (II/B-17.4.2.) bölümünden sonra gelmek üzere aşağıdaki bölüm eklenmiş ve diğer bölüm buna göre teselsül ettirilmiştir.</w:t>
            </w:r>
          </w:p>
          <w:p w14:paraId="614F3F8F" w14:textId="77777777" w:rsidR="00CA029A" w:rsidRPr="00CA029A" w:rsidRDefault="00CA029A" w:rsidP="00CA029A">
            <w:pPr>
              <w:rPr>
                <w:b/>
                <w:bCs/>
              </w:rPr>
            </w:pPr>
            <w:r w:rsidRPr="00CA029A">
              <w:rPr>
                <w:b/>
                <w:bCs/>
              </w:rPr>
              <w:t>“18. Milli Savunma ve İç Güvenlik İhtiyaçlarında Kullanılmak Üzere Taşıt Teslimi</w:t>
            </w:r>
          </w:p>
          <w:p w14:paraId="38463BCC" w14:textId="77777777" w:rsidR="00CA029A" w:rsidRPr="00CA029A" w:rsidRDefault="00CA029A" w:rsidP="00CA029A">
            <w:pPr>
              <w:rPr>
                <w:b/>
                <w:bCs/>
              </w:rPr>
            </w:pPr>
            <w:r w:rsidRPr="00CA029A">
              <w:rPr>
                <w:b/>
                <w:bCs/>
                <w:u w:val="single"/>
              </w:rPr>
              <w:t xml:space="preserve">7555 sayılı Kanunun 6 </w:t>
            </w:r>
            <w:proofErr w:type="spellStart"/>
            <w:r w:rsidRPr="00CA029A">
              <w:rPr>
                <w:b/>
                <w:bCs/>
                <w:u w:val="single"/>
              </w:rPr>
              <w:t>ncı</w:t>
            </w:r>
            <w:proofErr w:type="spellEnd"/>
            <w:r w:rsidRPr="00CA029A">
              <w:rPr>
                <w:b/>
                <w:bCs/>
                <w:u w:val="single"/>
              </w:rPr>
              <w:t xml:space="preserve"> maddesiyle 3065 sayılı Kanunun 13 üncü maddesinin birinci fıkrasına eklenen (o) bendine göre, 4760 sayılı ÖTV Kanununa ekli (II) sayılı listenin 87.03 G.T.İ.P. numarasında yer alan “-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 ile 87.04 ve 87.11 G.T.İ.P. numaralarında yer alan taşıtların, münhasıran milli savunma ve iç güvenlik ihtiyaçlarında kullanılmak üzere Millî Savunma Bakanlığı, İçişleri Bakanlığı, Savunma Sanayii Başkanlığı ve Millî İstihbarat Teşkilatı Başkanlığına teslimi KDV’den istisnadır.</w:t>
            </w:r>
          </w:p>
          <w:p w14:paraId="7970DBB2" w14:textId="77777777" w:rsidR="00CA029A" w:rsidRPr="00CA029A" w:rsidRDefault="00CA029A" w:rsidP="00CA029A">
            <w:pPr>
              <w:rPr>
                <w:b/>
                <w:bCs/>
              </w:rPr>
            </w:pPr>
            <w:r w:rsidRPr="00CA029A">
              <w:rPr>
                <w:b/>
                <w:bCs/>
              </w:rPr>
              <w:t>Bu istisna uygulamasına ilişkin usul ve esaslar aşağıda belirlenmiştir.</w:t>
            </w:r>
          </w:p>
          <w:p w14:paraId="79A92CA7" w14:textId="77777777" w:rsidR="00CA029A" w:rsidRPr="00CA029A" w:rsidRDefault="00CA029A" w:rsidP="00CA029A">
            <w:pPr>
              <w:rPr>
                <w:b/>
                <w:bCs/>
              </w:rPr>
            </w:pPr>
            <w:r w:rsidRPr="00CA029A">
              <w:rPr>
                <w:b/>
                <w:bCs/>
              </w:rPr>
              <w:t>Bu istisna;</w:t>
            </w:r>
          </w:p>
          <w:p w14:paraId="6A22FF92" w14:textId="77777777" w:rsidR="00CA029A" w:rsidRPr="00CA029A" w:rsidRDefault="00CA029A" w:rsidP="00CA029A">
            <w:pPr>
              <w:rPr>
                <w:b/>
                <w:bCs/>
              </w:rPr>
            </w:pPr>
            <w:r w:rsidRPr="00CA029A">
              <w:rPr>
                <w:b/>
                <w:bCs/>
              </w:rPr>
              <w:t>- Millî Savunma Bakanlığı,</w:t>
            </w:r>
          </w:p>
          <w:p w14:paraId="5BB37C73" w14:textId="77777777" w:rsidR="00CA029A" w:rsidRPr="00CA029A" w:rsidRDefault="00CA029A" w:rsidP="00CA029A">
            <w:pPr>
              <w:rPr>
                <w:b/>
                <w:bCs/>
              </w:rPr>
            </w:pPr>
            <w:r w:rsidRPr="00CA029A">
              <w:rPr>
                <w:b/>
                <w:bCs/>
              </w:rPr>
              <w:t>- İçişleri Bakanlığı,</w:t>
            </w:r>
          </w:p>
          <w:p w14:paraId="0FBA1DA6" w14:textId="77777777" w:rsidR="00CA029A" w:rsidRPr="00CA029A" w:rsidRDefault="00CA029A" w:rsidP="00CA029A">
            <w:pPr>
              <w:rPr>
                <w:b/>
                <w:bCs/>
              </w:rPr>
            </w:pPr>
            <w:r w:rsidRPr="00CA029A">
              <w:rPr>
                <w:b/>
                <w:bCs/>
              </w:rPr>
              <w:t>- Savunma Sanayii Başkanlığı,</w:t>
            </w:r>
          </w:p>
          <w:p w14:paraId="721022EC" w14:textId="77777777" w:rsidR="00CA029A" w:rsidRPr="00CA029A" w:rsidRDefault="00CA029A" w:rsidP="00CA029A">
            <w:pPr>
              <w:rPr>
                <w:b/>
                <w:bCs/>
              </w:rPr>
            </w:pPr>
            <w:r w:rsidRPr="00CA029A">
              <w:rPr>
                <w:b/>
                <w:bCs/>
              </w:rPr>
              <w:t>- Milli İstihbarat Teşkilatı Başkanlığının,</w:t>
            </w:r>
          </w:p>
          <w:p w14:paraId="7018ABB9" w14:textId="77777777" w:rsidR="00CA029A" w:rsidRPr="00CA029A" w:rsidRDefault="00CA029A" w:rsidP="00CA029A">
            <w:pPr>
              <w:rPr>
                <w:b/>
                <w:bCs/>
              </w:rPr>
            </w:pPr>
            <w:r w:rsidRPr="00CA029A">
              <w:rPr>
                <w:b/>
                <w:bCs/>
              </w:rPr>
              <w:t>motorlu taşıt alımlarında uygulanır.</w:t>
            </w:r>
          </w:p>
          <w:p w14:paraId="7D80B8F0" w14:textId="77777777" w:rsidR="00CA029A" w:rsidRPr="00CA029A" w:rsidRDefault="00CA029A" w:rsidP="00CA029A">
            <w:pPr>
              <w:rPr>
                <w:b/>
                <w:bCs/>
              </w:rPr>
            </w:pPr>
            <w:r w:rsidRPr="00CA029A">
              <w:rPr>
                <w:b/>
                <w:bCs/>
              </w:rPr>
              <w:t>Bu kapsamda, 4760 sayılı Kanuna ekli (II) sayılı listenin;</w:t>
            </w:r>
          </w:p>
          <w:p w14:paraId="4E43BC35" w14:textId="77777777" w:rsidR="00CA029A" w:rsidRPr="00CA029A" w:rsidRDefault="00CA029A" w:rsidP="00CA029A">
            <w:pPr>
              <w:rPr>
                <w:b/>
                <w:bCs/>
              </w:rPr>
            </w:pPr>
            <w:r w:rsidRPr="00CA029A">
              <w:rPr>
                <w:b/>
                <w:bCs/>
              </w:rPr>
              <w:t xml:space="preserve">- 87.03 G.T.İ.P. numarasında yer alan “Yük taşımasında kullanılıp azami ağırlığı 3,5 tonu aşmayan ve yolcu taşıma kapasitesi (Yolcu taşıma kapasitesi sürücü dahil toplam yolcu </w:t>
            </w:r>
            <w:r w:rsidRPr="00CA029A">
              <w:rPr>
                <w:b/>
                <w:bCs/>
              </w:rPr>
              <w:lastRenderedPageBreak/>
              <w:t>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taşıtların,</w:t>
            </w:r>
          </w:p>
          <w:p w14:paraId="1798222F" w14:textId="77777777" w:rsidR="00CA029A" w:rsidRPr="00CA029A" w:rsidRDefault="00CA029A" w:rsidP="00CA029A">
            <w:pPr>
              <w:rPr>
                <w:b/>
                <w:bCs/>
              </w:rPr>
            </w:pPr>
            <w:r w:rsidRPr="00CA029A">
              <w:rPr>
                <w:b/>
                <w:bCs/>
              </w:rPr>
              <w:t>- 87.04 G.T.İ.P. numarasında yer alan taşıtların,</w:t>
            </w:r>
          </w:p>
          <w:p w14:paraId="42643240" w14:textId="77777777" w:rsidR="00CA029A" w:rsidRPr="00CA029A" w:rsidRDefault="00CA029A" w:rsidP="00CA029A">
            <w:pPr>
              <w:rPr>
                <w:b/>
                <w:bCs/>
              </w:rPr>
            </w:pPr>
            <w:r w:rsidRPr="00CA029A">
              <w:rPr>
                <w:b/>
                <w:bCs/>
              </w:rPr>
              <w:t>- 87.11 G.T.İ.P. numarasında yer alan taşıtların,</w:t>
            </w:r>
          </w:p>
          <w:p w14:paraId="18E89E8A" w14:textId="77777777" w:rsidR="00CA029A" w:rsidRPr="00CA029A" w:rsidRDefault="00CA029A" w:rsidP="00CA029A">
            <w:pPr>
              <w:rPr>
                <w:b/>
                <w:bCs/>
              </w:rPr>
            </w:pPr>
            <w:r w:rsidRPr="00CA029A">
              <w:rPr>
                <w:b/>
                <w:bCs/>
              </w:rPr>
              <w:t>tesliminde KDV hesaplanmaz.</w:t>
            </w:r>
          </w:p>
          <w:p w14:paraId="2F16CD14" w14:textId="77777777" w:rsidR="00CA029A" w:rsidRPr="00CA029A" w:rsidRDefault="00CA029A" w:rsidP="00CA029A">
            <w:pPr>
              <w:rPr>
                <w:b/>
                <w:bCs/>
              </w:rPr>
            </w:pPr>
            <w:r w:rsidRPr="00CA029A">
              <w:rPr>
                <w:b/>
                <w:bCs/>
              </w:rPr>
              <w:t>Ayrıca, söz konusu taşıtların yukarıda sayılan kuruluşlar tarafından ithali de KDV’den istisnadır.</w:t>
            </w:r>
          </w:p>
          <w:p w14:paraId="18C653E8" w14:textId="77777777" w:rsidR="00CA029A" w:rsidRPr="00CA029A" w:rsidRDefault="00CA029A" w:rsidP="00CA029A">
            <w:pPr>
              <w:rPr>
                <w:b/>
                <w:bCs/>
              </w:rPr>
            </w:pPr>
            <w:r w:rsidRPr="00CA029A">
              <w:rPr>
                <w:b/>
                <w:bCs/>
              </w:rPr>
              <w:t>Yukarıda sayılan kuruluşlara, münhasıran milli savunma ve iç güvenlik ihtiyaçlarına ilişkin olmak kaydıyla sadece maddede belirlenen taşıtların teslimlerinde istisna uygulanabilecek, bu kuruluşların diğer taşıt alımları ise bu kapsamda değerlendirilmeyecektir.</w:t>
            </w:r>
          </w:p>
          <w:p w14:paraId="0B8DA461" w14:textId="77777777" w:rsidR="00CA029A" w:rsidRPr="00CA029A" w:rsidRDefault="00CA029A" w:rsidP="00CA029A">
            <w:pPr>
              <w:rPr>
                <w:b/>
                <w:bCs/>
              </w:rPr>
            </w:pPr>
            <w:r w:rsidRPr="00CA029A">
              <w:rPr>
                <w:b/>
                <w:bCs/>
              </w:rPr>
              <w:t>18.2. İstisnanın Uygulanması</w:t>
            </w:r>
          </w:p>
          <w:p w14:paraId="53E7E073" w14:textId="77777777" w:rsidR="00CA029A" w:rsidRPr="00CA029A" w:rsidRDefault="00CA029A" w:rsidP="00CA029A">
            <w:pPr>
              <w:rPr>
                <w:b/>
                <w:bCs/>
              </w:rPr>
            </w:pPr>
            <w:r w:rsidRPr="00CA029A">
              <w:rPr>
                <w:b/>
                <w:bCs/>
              </w:rPr>
              <w:t>3065 sayılı Kanunun (13/o) maddesinde yer alan düzenleme tam istisna mahiyetindedir. Maddede sayılan kuruluşlar, istisna kapsamında temin edeceği taşıtlara ilişkin liste ile birlikte bulundukları yer Defterdarlığına başvurur. Bu başvuru Defterdarlık tarafından değerlendirilerek taşıt alımlarında istisna uygulanacağına ilişkin belge (EK:34) ilgili kuruluşa verilir ve taşıt listesi onaylanır. Bu belge ve eki liste gümrük idarelerine veya yurt içindeki satıcılara ibraz edilir. Söz konusu belge, satıcılar tarafından 213 sayılı Kanunun muhafaza ve ibraz hükümlerine uygun olarak saklanır.</w:t>
            </w:r>
          </w:p>
          <w:p w14:paraId="019A72FF" w14:textId="77777777" w:rsidR="00CA029A" w:rsidRPr="00CA029A" w:rsidRDefault="00CA029A" w:rsidP="00CA029A">
            <w:pPr>
              <w:rPr>
                <w:b/>
                <w:bCs/>
              </w:rPr>
            </w:pPr>
            <w:r w:rsidRPr="00CA029A">
              <w:rPr>
                <w:b/>
                <w:bCs/>
              </w:rPr>
              <w:t>İstisna kapsamında yapılan taşıt teslimi ile ilgili olarak düzenlenen faturada KDV gösterilmez. Ayrıca, faturada istisna belgesinin tarih ve numarasına atıf yapılarak “3065 sayılı KDV Kanununun (13/o) maddesi hükmü gereğince KDV hesaplanmamıştır.” ibaresine yer verilir.</w:t>
            </w:r>
          </w:p>
          <w:p w14:paraId="11A6C9ED" w14:textId="77777777" w:rsidR="00911032" w:rsidRPr="00911032" w:rsidRDefault="00911032" w:rsidP="00911032"/>
          <w:p w14:paraId="469D49B0" w14:textId="77777777" w:rsidR="00911032" w:rsidRPr="00911032" w:rsidRDefault="00911032" w:rsidP="00911032"/>
          <w:p w14:paraId="1B20AE72" w14:textId="77777777" w:rsidR="00911032" w:rsidRPr="00911032" w:rsidRDefault="00911032" w:rsidP="00911032">
            <w:r w:rsidRPr="00911032">
              <w:t> </w:t>
            </w:r>
          </w:p>
          <w:p w14:paraId="4FD10628" w14:textId="77777777" w:rsidR="00911032" w:rsidRPr="00911032" w:rsidRDefault="00911032" w:rsidP="00911032"/>
          <w:p w14:paraId="20E615F5" w14:textId="77777777" w:rsidR="00911032" w:rsidRPr="00911032" w:rsidRDefault="00911032" w:rsidP="00911032"/>
          <w:p w14:paraId="35E52149" w14:textId="77777777" w:rsidR="00911032" w:rsidRPr="00911032" w:rsidRDefault="00911032" w:rsidP="00911032"/>
        </w:tc>
      </w:tr>
      <w:tr w:rsidR="00911032" w:rsidRPr="00911032"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911032" w:rsidRDefault="00911032" w:rsidP="00911032"/>
        </w:tc>
      </w:tr>
      <w:tr w:rsidR="00911032" w:rsidRPr="00911032"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911032" w:rsidRDefault="00911032" w:rsidP="00911032">
            <w:pPr>
              <w:jc w:val="center"/>
              <w:rPr>
                <w:b/>
                <w:bCs/>
              </w:rPr>
            </w:pPr>
            <w:r w:rsidRPr="00911032">
              <w:rPr>
                <w:b/>
                <w:bCs/>
              </w:rPr>
              <w:t>KAYNAK</w:t>
            </w:r>
          </w:p>
        </w:tc>
      </w:tr>
      <w:tr w:rsidR="00911032" w:rsidRPr="00911032"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911032" w:rsidRDefault="00911032" w:rsidP="00911032"/>
        </w:tc>
      </w:tr>
      <w:tr w:rsidR="00911032" w:rsidRPr="00911032"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911032" w:rsidRDefault="00911032" w:rsidP="00911032"/>
        </w:tc>
      </w:tr>
    </w:tbl>
    <w:p w14:paraId="1D2757F7" w14:textId="77777777" w:rsidR="00911032" w:rsidRPr="00911032" w:rsidRDefault="00911032" w:rsidP="00911032"/>
    <w:p w14:paraId="302FAA15" w14:textId="77777777" w:rsidR="00911032" w:rsidRDefault="00911032"/>
    <w:sectPr w:rsidR="00911032"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55282"/>
    <w:rsid w:val="0037190C"/>
    <w:rsid w:val="004055E4"/>
    <w:rsid w:val="00530637"/>
    <w:rsid w:val="005312AE"/>
    <w:rsid w:val="0067273C"/>
    <w:rsid w:val="006A78FB"/>
    <w:rsid w:val="00911032"/>
    <w:rsid w:val="00916030"/>
    <w:rsid w:val="00926FCE"/>
    <w:rsid w:val="00A65251"/>
    <w:rsid w:val="00AD080F"/>
    <w:rsid w:val="00CA029A"/>
    <w:rsid w:val="00EA6DD2"/>
    <w:rsid w:val="00FC4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96145394">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 w:id="20415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BT</cp:lastModifiedBy>
  <cp:revision>6</cp:revision>
  <dcterms:created xsi:type="dcterms:W3CDTF">2025-04-03T06:35:00Z</dcterms:created>
  <dcterms:modified xsi:type="dcterms:W3CDTF">2025-09-05T12:41:00Z</dcterms:modified>
</cp:coreProperties>
</file>